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45" w:rightFromText="45" w:topFromText="240" w:bottomFromText="240" w:vertAnchor="text"/>
        <w:tblW w:w="0" w:type="auto"/>
        <w:tblBorders>
          <w:top w:val="single" w:sz="6" w:space="0" w:color="808080"/>
          <w:left w:val="single" w:sz="6" w:space="0" w:color="808080"/>
          <w:bottom w:val="single" w:sz="6" w:space="0" w:color="808080"/>
          <w:right w:val="single" w:sz="6" w:space="0" w:color="808080"/>
        </w:tblBorders>
        <w:tblCellMar>
          <w:top w:w="15" w:type="dxa"/>
          <w:left w:w="15" w:type="dxa"/>
          <w:bottom w:w="15" w:type="dxa"/>
          <w:right w:w="15" w:type="dxa"/>
        </w:tblCellMar>
        <w:tblLook w:val="04A0" w:firstRow="1" w:lastRow="0" w:firstColumn="1" w:lastColumn="0" w:noHBand="0" w:noVBand="1"/>
      </w:tblPr>
      <w:tblGrid>
        <w:gridCol w:w="1988"/>
        <w:gridCol w:w="36"/>
        <w:gridCol w:w="6986"/>
      </w:tblGrid>
      <w:tr w:rsidR="00F66820" w:rsidRPr="00635590" w14:paraId="310DBF22" w14:textId="77777777" w:rsidTr="000546C4">
        <w:tc>
          <w:tcPr>
            <w:tcW w:w="0" w:type="auto"/>
            <w:gridSpan w:val="3"/>
            <w:tcMar>
              <w:top w:w="60" w:type="dxa"/>
              <w:left w:w="75" w:type="dxa"/>
              <w:bottom w:w="60" w:type="dxa"/>
              <w:right w:w="150" w:type="dxa"/>
            </w:tcMar>
            <w:vAlign w:val="center"/>
          </w:tcPr>
          <w:p w14:paraId="67A7F277" w14:textId="027A9A1F" w:rsidR="00F66820" w:rsidRPr="00F66820" w:rsidRDefault="00F66820" w:rsidP="00E5644C">
            <w:pPr>
              <w:rPr>
                <w:b/>
                <w:bCs/>
              </w:rPr>
            </w:pPr>
            <w:r w:rsidRPr="00F66820">
              <w:rPr>
                <w:b/>
                <w:bCs/>
              </w:rPr>
              <w:t>TERMS OF REFERENCE OF RECRUITMENT AND TRAINING SUB-COMMITTE</w:t>
            </w:r>
            <w:r>
              <w:rPr>
                <w:b/>
                <w:bCs/>
              </w:rPr>
              <w:t>E</w:t>
            </w:r>
          </w:p>
        </w:tc>
      </w:tr>
      <w:tr w:rsidR="00F66820" w:rsidRPr="00635590" w14:paraId="4733C52D" w14:textId="77777777" w:rsidTr="00E5644C">
        <w:tc>
          <w:tcPr>
            <w:tcW w:w="0" w:type="auto"/>
            <w:tcMar>
              <w:top w:w="60" w:type="dxa"/>
              <w:left w:w="75" w:type="dxa"/>
              <w:bottom w:w="60" w:type="dxa"/>
              <w:right w:w="150" w:type="dxa"/>
            </w:tcMar>
            <w:vAlign w:val="center"/>
            <w:hideMark/>
          </w:tcPr>
          <w:p w14:paraId="671B50AA" w14:textId="77777777" w:rsidR="00F66820" w:rsidRPr="003840C8" w:rsidRDefault="00F66820" w:rsidP="00E5644C">
            <w:pPr>
              <w:rPr>
                <w:b/>
              </w:rPr>
            </w:pPr>
            <w:r w:rsidRPr="003840C8">
              <w:rPr>
                <w:b/>
              </w:rPr>
              <w:t>Name of group</w:t>
            </w:r>
          </w:p>
        </w:tc>
        <w:tc>
          <w:tcPr>
            <w:tcW w:w="0" w:type="auto"/>
          </w:tcPr>
          <w:p w14:paraId="1DF2871E" w14:textId="77777777" w:rsidR="00F66820" w:rsidRDefault="00F66820" w:rsidP="00E5644C"/>
        </w:tc>
        <w:tc>
          <w:tcPr>
            <w:tcW w:w="0" w:type="auto"/>
            <w:tcMar>
              <w:top w:w="60" w:type="dxa"/>
              <w:left w:w="75" w:type="dxa"/>
              <w:bottom w:w="60" w:type="dxa"/>
              <w:right w:w="150" w:type="dxa"/>
            </w:tcMar>
            <w:vAlign w:val="center"/>
            <w:hideMark/>
          </w:tcPr>
          <w:p w14:paraId="7C3638F3" w14:textId="77777777" w:rsidR="00F66820" w:rsidRPr="00635590" w:rsidRDefault="00F66820" w:rsidP="00E5644C">
            <w:r>
              <w:t>Recruitment and Training Sub-c</w:t>
            </w:r>
            <w:r w:rsidRPr="00635590">
              <w:t>ommittee</w:t>
            </w:r>
          </w:p>
        </w:tc>
      </w:tr>
      <w:tr w:rsidR="00F66820" w:rsidRPr="00635590" w14:paraId="5050D44D" w14:textId="77777777" w:rsidTr="00E5644C">
        <w:tc>
          <w:tcPr>
            <w:tcW w:w="0" w:type="auto"/>
            <w:tcMar>
              <w:top w:w="60" w:type="dxa"/>
              <w:left w:w="75" w:type="dxa"/>
              <w:bottom w:w="60" w:type="dxa"/>
              <w:right w:w="150" w:type="dxa"/>
            </w:tcMar>
            <w:vAlign w:val="center"/>
            <w:hideMark/>
          </w:tcPr>
          <w:p w14:paraId="282035C7" w14:textId="77777777" w:rsidR="00F66820" w:rsidRPr="003840C8" w:rsidRDefault="00F66820" w:rsidP="00E5644C">
            <w:pPr>
              <w:rPr>
                <w:b/>
              </w:rPr>
            </w:pPr>
            <w:r>
              <w:rPr>
                <w:b/>
              </w:rPr>
              <w:t>Mem</w:t>
            </w:r>
            <w:r w:rsidRPr="003840C8">
              <w:rPr>
                <w:b/>
              </w:rPr>
              <w:t>bership and appointment</w:t>
            </w:r>
          </w:p>
        </w:tc>
        <w:tc>
          <w:tcPr>
            <w:tcW w:w="0" w:type="auto"/>
          </w:tcPr>
          <w:p w14:paraId="76BBD261" w14:textId="77777777" w:rsidR="00F66820" w:rsidRPr="002B08FD" w:rsidRDefault="00F66820" w:rsidP="00E5644C">
            <w:pPr>
              <w:pStyle w:val="BodyA"/>
              <w:suppressAutoHyphens/>
              <w:spacing w:line="336" w:lineRule="auto"/>
              <w:rPr>
                <w:rFonts w:asciiTheme="minorHAnsi" w:hAnsiTheme="minorHAnsi"/>
                <w:b/>
                <w:bCs/>
              </w:rPr>
            </w:pPr>
          </w:p>
        </w:tc>
        <w:tc>
          <w:tcPr>
            <w:tcW w:w="0" w:type="auto"/>
            <w:tcMar>
              <w:top w:w="60" w:type="dxa"/>
              <w:left w:w="75" w:type="dxa"/>
              <w:bottom w:w="60" w:type="dxa"/>
              <w:right w:w="150" w:type="dxa"/>
            </w:tcMar>
            <w:vAlign w:val="center"/>
            <w:hideMark/>
          </w:tcPr>
          <w:p w14:paraId="1E82D132"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b/>
                <w:bCs/>
              </w:rPr>
              <w:t>Membership:</w:t>
            </w:r>
          </w:p>
          <w:p w14:paraId="1BA02BAE" w14:textId="77777777" w:rsidR="00F66820" w:rsidRDefault="00F66820" w:rsidP="00E5644C">
            <w:pPr>
              <w:pStyle w:val="BodyA"/>
              <w:numPr>
                <w:ilvl w:val="0"/>
                <w:numId w:val="1"/>
              </w:numPr>
              <w:suppressAutoHyphens/>
              <w:spacing w:line="336" w:lineRule="auto"/>
              <w:rPr>
                <w:rFonts w:asciiTheme="minorHAnsi" w:hAnsiTheme="minorHAnsi"/>
              </w:rPr>
            </w:pPr>
            <w:r w:rsidRPr="002B08FD">
              <w:rPr>
                <w:rFonts w:asciiTheme="minorHAnsi" w:hAnsiTheme="minorHAnsi"/>
              </w:rPr>
              <w:t>Education Officer (Convenor and Chair)</w:t>
            </w:r>
          </w:p>
          <w:p w14:paraId="6AB874BF" w14:textId="77777777" w:rsidR="00F66820" w:rsidRPr="002B08FD" w:rsidRDefault="00F66820" w:rsidP="00E5644C">
            <w:pPr>
              <w:pStyle w:val="BodyA"/>
              <w:numPr>
                <w:ilvl w:val="0"/>
                <w:numId w:val="1"/>
              </w:numPr>
              <w:suppressAutoHyphens/>
              <w:spacing w:line="336" w:lineRule="auto"/>
              <w:rPr>
                <w:rFonts w:asciiTheme="minorHAnsi" w:hAnsiTheme="minorHAnsi"/>
              </w:rPr>
            </w:pPr>
            <w:r>
              <w:rPr>
                <w:rFonts w:asciiTheme="minorHAnsi" w:hAnsiTheme="minorHAnsi"/>
              </w:rPr>
              <w:t>Education Trustee (if not Education Officer)</w:t>
            </w:r>
          </w:p>
          <w:p w14:paraId="4163A89D" w14:textId="77777777" w:rsidR="00F66820" w:rsidRPr="002B08FD" w:rsidRDefault="00F66820" w:rsidP="00E5644C">
            <w:pPr>
              <w:pStyle w:val="BodyA"/>
              <w:numPr>
                <w:ilvl w:val="0"/>
                <w:numId w:val="1"/>
              </w:numPr>
              <w:suppressAutoHyphens/>
              <w:spacing w:line="336" w:lineRule="auto"/>
              <w:rPr>
                <w:rFonts w:asciiTheme="minorHAnsi" w:hAnsiTheme="minorHAnsi"/>
              </w:rPr>
            </w:pPr>
            <w:r w:rsidRPr="002B08FD">
              <w:rPr>
                <w:rFonts w:asciiTheme="minorHAnsi" w:hAnsiTheme="minorHAnsi"/>
              </w:rPr>
              <w:t>Association Master, Treasurer and/or Secretary (to represent Association Executive)</w:t>
            </w:r>
          </w:p>
          <w:p w14:paraId="27487816" w14:textId="77777777" w:rsidR="00F66820" w:rsidRPr="002B08FD" w:rsidRDefault="00F66820" w:rsidP="00E5644C">
            <w:pPr>
              <w:pStyle w:val="BodyA"/>
              <w:numPr>
                <w:ilvl w:val="0"/>
                <w:numId w:val="1"/>
              </w:numPr>
              <w:suppressAutoHyphens/>
              <w:spacing w:line="336" w:lineRule="auto"/>
              <w:rPr>
                <w:rFonts w:asciiTheme="minorHAnsi" w:hAnsiTheme="minorHAnsi"/>
              </w:rPr>
            </w:pPr>
            <w:r w:rsidRPr="002B08FD">
              <w:rPr>
                <w:rFonts w:asciiTheme="minorHAnsi" w:hAnsiTheme="minorHAnsi"/>
              </w:rPr>
              <w:t>Ringing Course Administrator</w:t>
            </w:r>
          </w:p>
          <w:p w14:paraId="2233B0CC" w14:textId="77777777" w:rsidR="00F66820" w:rsidRPr="002B08FD" w:rsidRDefault="00F66820" w:rsidP="00E5644C">
            <w:pPr>
              <w:pStyle w:val="BodyA"/>
              <w:numPr>
                <w:ilvl w:val="0"/>
                <w:numId w:val="1"/>
              </w:numPr>
              <w:suppressAutoHyphens/>
              <w:spacing w:line="336" w:lineRule="auto"/>
              <w:rPr>
                <w:rFonts w:asciiTheme="minorHAnsi" w:hAnsiTheme="minorHAnsi"/>
              </w:rPr>
            </w:pPr>
            <w:r w:rsidRPr="002B08FD">
              <w:rPr>
                <w:rFonts w:asciiTheme="minorHAnsi" w:hAnsiTheme="minorHAnsi"/>
              </w:rPr>
              <w:t>Representatives or delegates of training from each district</w:t>
            </w:r>
          </w:p>
          <w:p w14:paraId="34123C8E" w14:textId="77777777" w:rsidR="00F66820" w:rsidRPr="00D7569C" w:rsidRDefault="00F66820" w:rsidP="00E5644C">
            <w:pPr>
              <w:pStyle w:val="BodyA"/>
              <w:numPr>
                <w:ilvl w:val="0"/>
                <w:numId w:val="1"/>
              </w:numPr>
              <w:suppressAutoHyphens/>
              <w:spacing w:line="336" w:lineRule="auto"/>
              <w:rPr>
                <w:rFonts w:asciiTheme="minorHAnsi" w:hAnsiTheme="minorHAnsi"/>
                <w:color w:val="000000" w:themeColor="text1"/>
                <w:u w:color="F55334"/>
              </w:rPr>
            </w:pPr>
            <w:r w:rsidRPr="00D7569C">
              <w:rPr>
                <w:rFonts w:asciiTheme="minorHAnsi" w:hAnsiTheme="minorHAnsi"/>
                <w:color w:val="000000" w:themeColor="text1"/>
                <w:u w:color="F55334"/>
              </w:rPr>
              <w:t>Youth Coordinator</w:t>
            </w:r>
          </w:p>
          <w:p w14:paraId="3AA9E123" w14:textId="77777777" w:rsidR="00F66820" w:rsidRPr="00D7569C" w:rsidRDefault="00F66820" w:rsidP="00E5644C">
            <w:pPr>
              <w:pStyle w:val="BodyA"/>
              <w:numPr>
                <w:ilvl w:val="0"/>
                <w:numId w:val="1"/>
              </w:numPr>
              <w:suppressAutoHyphens/>
              <w:spacing w:line="336" w:lineRule="auto"/>
              <w:rPr>
                <w:rFonts w:asciiTheme="minorHAnsi" w:hAnsiTheme="minorHAnsi"/>
                <w:color w:val="000000" w:themeColor="text1"/>
                <w:u w:color="F55334"/>
              </w:rPr>
            </w:pPr>
            <w:r w:rsidRPr="00D7569C">
              <w:rPr>
                <w:rFonts w:asciiTheme="minorHAnsi" w:hAnsiTheme="minorHAnsi"/>
                <w:color w:val="000000" w:themeColor="text1"/>
                <w:u w:color="F55334"/>
              </w:rPr>
              <w:t>Bookstall Administrator</w:t>
            </w:r>
          </w:p>
          <w:p w14:paraId="222ED57B"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rPr>
              <w:t>Optional</w:t>
            </w:r>
            <w:r>
              <w:rPr>
                <w:rFonts w:asciiTheme="minorHAnsi" w:hAnsiTheme="minorHAnsi"/>
              </w:rPr>
              <w:t xml:space="preserve"> (such individuals to be approved by an Association Management Committee)</w:t>
            </w:r>
            <w:r w:rsidRPr="002B08FD">
              <w:rPr>
                <w:rFonts w:asciiTheme="minorHAnsi" w:hAnsiTheme="minorHAnsi"/>
              </w:rPr>
              <w:t>:</w:t>
            </w:r>
          </w:p>
          <w:p w14:paraId="79C09A62" w14:textId="77777777" w:rsidR="00F66820" w:rsidRPr="002B08FD" w:rsidRDefault="00F66820" w:rsidP="00E5644C">
            <w:pPr>
              <w:pStyle w:val="BodyA"/>
              <w:numPr>
                <w:ilvl w:val="0"/>
                <w:numId w:val="1"/>
              </w:numPr>
              <w:suppressAutoHyphens/>
              <w:spacing w:line="336" w:lineRule="auto"/>
              <w:rPr>
                <w:rFonts w:asciiTheme="minorHAnsi" w:hAnsiTheme="minorHAnsi"/>
              </w:rPr>
            </w:pPr>
            <w:r w:rsidRPr="002B08FD">
              <w:rPr>
                <w:rFonts w:asciiTheme="minorHAnsi" w:hAnsiTheme="minorHAnsi"/>
              </w:rPr>
              <w:t>Representatives of training schools or hubs, ART representative</w:t>
            </w:r>
          </w:p>
          <w:p w14:paraId="6CEFA579" w14:textId="77777777" w:rsidR="00F66820" w:rsidRPr="002B08FD" w:rsidRDefault="00F66820" w:rsidP="00E5644C">
            <w:pPr>
              <w:pStyle w:val="BodyA"/>
              <w:numPr>
                <w:ilvl w:val="0"/>
                <w:numId w:val="1"/>
              </w:numPr>
              <w:suppressAutoHyphens/>
              <w:spacing w:line="336" w:lineRule="auto"/>
              <w:rPr>
                <w:rFonts w:asciiTheme="minorHAnsi" w:hAnsiTheme="minorHAnsi"/>
              </w:rPr>
            </w:pPr>
            <w:r w:rsidRPr="002B08FD">
              <w:rPr>
                <w:rFonts w:asciiTheme="minorHAnsi" w:hAnsiTheme="minorHAnsi"/>
              </w:rPr>
              <w:t xml:space="preserve">Peal </w:t>
            </w:r>
            <w:proofErr w:type="spellStart"/>
            <w:r w:rsidRPr="002B08FD">
              <w:rPr>
                <w:rFonts w:asciiTheme="minorHAnsi" w:hAnsiTheme="minorHAnsi"/>
              </w:rPr>
              <w:t>programme</w:t>
            </w:r>
            <w:proofErr w:type="spellEnd"/>
            <w:r w:rsidRPr="002B08FD">
              <w:rPr>
                <w:rFonts w:asciiTheme="minorHAnsi" w:hAnsiTheme="minorHAnsi"/>
              </w:rPr>
              <w:t xml:space="preserve"> </w:t>
            </w:r>
            <w:proofErr w:type="spellStart"/>
            <w:r w:rsidRPr="002B08FD">
              <w:rPr>
                <w:rFonts w:asciiTheme="minorHAnsi" w:hAnsiTheme="minorHAnsi"/>
              </w:rPr>
              <w:t>organiser</w:t>
            </w:r>
            <w:proofErr w:type="spellEnd"/>
            <w:r w:rsidRPr="002B08FD">
              <w:rPr>
                <w:rFonts w:asciiTheme="minorHAnsi" w:hAnsiTheme="minorHAnsi"/>
              </w:rPr>
              <w:t xml:space="preserve"> </w:t>
            </w:r>
          </w:p>
          <w:p w14:paraId="40AC072C" w14:textId="77777777" w:rsidR="00F66820" w:rsidRDefault="00F66820" w:rsidP="00E5644C">
            <w:pPr>
              <w:pStyle w:val="BodyA"/>
              <w:numPr>
                <w:ilvl w:val="0"/>
                <w:numId w:val="1"/>
              </w:numPr>
              <w:suppressAutoHyphens/>
              <w:spacing w:line="336" w:lineRule="auto"/>
              <w:rPr>
                <w:rFonts w:asciiTheme="minorHAnsi" w:hAnsiTheme="minorHAnsi"/>
                <w:color w:val="000000" w:themeColor="text1"/>
              </w:rPr>
            </w:pPr>
            <w:r w:rsidRPr="00D7569C">
              <w:rPr>
                <w:rFonts w:asciiTheme="minorHAnsi" w:hAnsiTheme="minorHAnsi"/>
                <w:color w:val="000000" w:themeColor="text1"/>
              </w:rPr>
              <w:t>Other individuals involved in recruitment or training initiatives</w:t>
            </w:r>
          </w:p>
          <w:p w14:paraId="229BF256" w14:textId="77777777" w:rsidR="00F66820" w:rsidRPr="00D7569C" w:rsidRDefault="00F66820" w:rsidP="00E5644C">
            <w:pPr>
              <w:pStyle w:val="BodyA"/>
              <w:numPr>
                <w:ilvl w:val="0"/>
                <w:numId w:val="1"/>
              </w:numPr>
              <w:suppressAutoHyphens/>
              <w:spacing w:line="336" w:lineRule="auto"/>
              <w:rPr>
                <w:rFonts w:asciiTheme="minorHAnsi" w:hAnsiTheme="minorHAnsi"/>
                <w:color w:val="000000" w:themeColor="text1"/>
              </w:rPr>
            </w:pPr>
            <w:r>
              <w:rPr>
                <w:rFonts w:asciiTheme="minorHAnsi" w:hAnsiTheme="minorHAnsi"/>
                <w:color w:val="000000" w:themeColor="text1"/>
              </w:rPr>
              <w:t>A member to act as secretary</w:t>
            </w:r>
          </w:p>
          <w:p w14:paraId="53AC8E6E" w14:textId="77777777" w:rsidR="00F66820" w:rsidRDefault="00F66820" w:rsidP="00E5644C">
            <w:pPr>
              <w:pStyle w:val="BodyA"/>
              <w:numPr>
                <w:ilvl w:val="0"/>
                <w:numId w:val="1"/>
              </w:numPr>
              <w:suppressAutoHyphens/>
              <w:spacing w:line="336" w:lineRule="auto"/>
              <w:rPr>
                <w:rFonts w:asciiTheme="minorHAnsi" w:hAnsiTheme="minorHAnsi"/>
                <w:color w:val="000000" w:themeColor="text1"/>
              </w:rPr>
            </w:pPr>
            <w:r w:rsidRPr="00D7569C">
              <w:rPr>
                <w:rFonts w:asciiTheme="minorHAnsi" w:hAnsiTheme="minorHAnsi"/>
                <w:color w:val="000000" w:themeColor="text1"/>
              </w:rPr>
              <w:t>Previous district representatives for maximum of one-year handover period</w:t>
            </w:r>
          </w:p>
          <w:p w14:paraId="1DE0ECDA" w14:textId="77777777" w:rsidR="00F66820" w:rsidRPr="00D7569C" w:rsidRDefault="00F66820" w:rsidP="00E5644C">
            <w:pPr>
              <w:pStyle w:val="BodyA"/>
              <w:numPr>
                <w:ilvl w:val="0"/>
                <w:numId w:val="1"/>
              </w:numPr>
              <w:suppressAutoHyphens/>
              <w:spacing w:line="336" w:lineRule="auto"/>
              <w:rPr>
                <w:rFonts w:asciiTheme="minorHAnsi" w:hAnsiTheme="minorHAnsi"/>
                <w:color w:val="000000" w:themeColor="text1"/>
              </w:rPr>
            </w:pPr>
            <w:r>
              <w:rPr>
                <w:rFonts w:asciiTheme="minorHAnsi" w:hAnsiTheme="minorHAnsi"/>
                <w:color w:val="000000" w:themeColor="text1"/>
              </w:rPr>
              <w:t>Other members may be co-opted by the sub-committee</w:t>
            </w:r>
          </w:p>
          <w:p w14:paraId="58EB2755" w14:textId="77777777" w:rsidR="00F66820" w:rsidRPr="00635590" w:rsidRDefault="00F66820" w:rsidP="00E5644C"/>
        </w:tc>
      </w:tr>
      <w:tr w:rsidR="00F66820" w:rsidRPr="00635590" w14:paraId="6F04216D" w14:textId="77777777" w:rsidTr="00E5644C">
        <w:tc>
          <w:tcPr>
            <w:tcW w:w="0" w:type="auto"/>
            <w:tcMar>
              <w:top w:w="60" w:type="dxa"/>
              <w:left w:w="75" w:type="dxa"/>
              <w:bottom w:w="60" w:type="dxa"/>
              <w:right w:w="150" w:type="dxa"/>
            </w:tcMar>
            <w:vAlign w:val="center"/>
            <w:hideMark/>
          </w:tcPr>
          <w:p w14:paraId="47ED6171" w14:textId="77777777" w:rsidR="00F66820" w:rsidRPr="003840C8" w:rsidRDefault="00F66820" w:rsidP="00E5644C">
            <w:pPr>
              <w:rPr>
                <w:b/>
              </w:rPr>
            </w:pPr>
            <w:r>
              <w:rPr>
                <w:b/>
              </w:rPr>
              <w:t xml:space="preserve">Convenor and </w:t>
            </w:r>
            <w:r w:rsidRPr="003840C8">
              <w:rPr>
                <w:b/>
              </w:rPr>
              <w:t>Chair</w:t>
            </w:r>
          </w:p>
        </w:tc>
        <w:tc>
          <w:tcPr>
            <w:tcW w:w="0" w:type="auto"/>
          </w:tcPr>
          <w:p w14:paraId="78C01339" w14:textId="77777777" w:rsidR="00F66820" w:rsidRDefault="00F66820" w:rsidP="00E5644C"/>
        </w:tc>
        <w:tc>
          <w:tcPr>
            <w:tcW w:w="0" w:type="auto"/>
            <w:tcMar>
              <w:top w:w="60" w:type="dxa"/>
              <w:left w:w="75" w:type="dxa"/>
              <w:bottom w:w="60" w:type="dxa"/>
              <w:right w:w="150" w:type="dxa"/>
            </w:tcMar>
            <w:vAlign w:val="center"/>
            <w:hideMark/>
          </w:tcPr>
          <w:p w14:paraId="7BAE767A" w14:textId="77777777" w:rsidR="00F66820" w:rsidRPr="00635590" w:rsidRDefault="00F66820" w:rsidP="00E5644C">
            <w:r>
              <w:t>EACR Education Officer or Education Trustee.</w:t>
            </w:r>
          </w:p>
        </w:tc>
      </w:tr>
      <w:tr w:rsidR="00F66820" w:rsidRPr="00635590" w14:paraId="497BC4B0" w14:textId="77777777" w:rsidTr="00E5644C">
        <w:tc>
          <w:tcPr>
            <w:tcW w:w="0" w:type="auto"/>
            <w:tcMar>
              <w:top w:w="60" w:type="dxa"/>
              <w:left w:w="75" w:type="dxa"/>
              <w:bottom w:w="60" w:type="dxa"/>
              <w:right w:w="150" w:type="dxa"/>
            </w:tcMar>
            <w:vAlign w:val="center"/>
            <w:hideMark/>
          </w:tcPr>
          <w:p w14:paraId="0C833D39" w14:textId="77777777" w:rsidR="00F66820" w:rsidRPr="003840C8" w:rsidRDefault="00F66820" w:rsidP="00E5644C">
            <w:pPr>
              <w:rPr>
                <w:b/>
              </w:rPr>
            </w:pPr>
            <w:r w:rsidRPr="003840C8">
              <w:rPr>
                <w:b/>
              </w:rPr>
              <w:t>Frequency of meetings and quorum</w:t>
            </w:r>
          </w:p>
        </w:tc>
        <w:tc>
          <w:tcPr>
            <w:tcW w:w="0" w:type="auto"/>
          </w:tcPr>
          <w:p w14:paraId="21D07978" w14:textId="77777777" w:rsidR="00F66820" w:rsidRPr="002B08FD" w:rsidRDefault="00F66820" w:rsidP="00E5644C">
            <w:pPr>
              <w:pStyle w:val="BodyA"/>
              <w:suppressAutoHyphens/>
              <w:spacing w:line="336" w:lineRule="auto"/>
              <w:rPr>
                <w:rFonts w:asciiTheme="minorHAnsi" w:hAnsiTheme="minorHAnsi"/>
                <w:b/>
                <w:bCs/>
              </w:rPr>
            </w:pPr>
          </w:p>
        </w:tc>
        <w:tc>
          <w:tcPr>
            <w:tcW w:w="0" w:type="auto"/>
            <w:tcMar>
              <w:top w:w="60" w:type="dxa"/>
              <w:left w:w="75" w:type="dxa"/>
              <w:bottom w:w="60" w:type="dxa"/>
              <w:right w:w="150" w:type="dxa"/>
            </w:tcMar>
            <w:vAlign w:val="center"/>
            <w:hideMark/>
          </w:tcPr>
          <w:p w14:paraId="55D0A831"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b/>
                <w:bCs/>
              </w:rPr>
              <w:t xml:space="preserve">Meeting frequency: </w:t>
            </w:r>
            <w:r w:rsidRPr="002B08FD">
              <w:rPr>
                <w:rFonts w:asciiTheme="minorHAnsi" w:hAnsiTheme="minorHAnsi"/>
              </w:rPr>
              <w:t xml:space="preserve">the committee will normally meet on a six-weekly basis. Key meetings will be scheduled prior to the Association </w:t>
            </w:r>
            <w:r>
              <w:rPr>
                <w:rFonts w:asciiTheme="minorHAnsi" w:hAnsiTheme="minorHAnsi"/>
              </w:rPr>
              <w:t xml:space="preserve">Management Committee </w:t>
            </w:r>
            <w:r w:rsidRPr="002B08FD">
              <w:rPr>
                <w:rFonts w:asciiTheme="minorHAnsi" w:hAnsiTheme="minorHAnsi"/>
              </w:rPr>
              <w:t xml:space="preserve">Meetings (February and October) and the Association AGM (May) </w:t>
            </w:r>
            <w:r>
              <w:rPr>
                <w:rFonts w:asciiTheme="minorHAnsi" w:hAnsiTheme="minorHAnsi"/>
              </w:rPr>
              <w:t>so</w:t>
            </w:r>
            <w:r w:rsidRPr="002B08FD">
              <w:rPr>
                <w:rFonts w:asciiTheme="minorHAnsi" w:hAnsiTheme="minorHAnsi"/>
              </w:rPr>
              <w:t xml:space="preserve"> that reports can be approved for submission. </w:t>
            </w:r>
          </w:p>
          <w:p w14:paraId="40D13119" w14:textId="77777777" w:rsidR="00F66820" w:rsidRDefault="00F66820" w:rsidP="00E5644C">
            <w:pPr>
              <w:pStyle w:val="BodyA"/>
              <w:suppressAutoHyphens/>
              <w:spacing w:line="336" w:lineRule="auto"/>
              <w:rPr>
                <w:rFonts w:asciiTheme="minorHAnsi" w:hAnsiTheme="minorHAnsi"/>
              </w:rPr>
            </w:pPr>
            <w:r w:rsidRPr="002B08FD">
              <w:rPr>
                <w:rFonts w:asciiTheme="minorHAnsi" w:hAnsiTheme="minorHAnsi"/>
                <w:b/>
                <w:bCs/>
              </w:rPr>
              <w:t>Location:</w:t>
            </w:r>
            <w:r w:rsidRPr="002B08FD">
              <w:rPr>
                <w:rFonts w:asciiTheme="minorHAnsi" w:hAnsiTheme="minorHAnsi"/>
              </w:rPr>
              <w:t xml:space="preserve"> meetings will be held virtually or in-person as agreed at the previous meeting. The committee aims to have at least two meetings per year in-person.</w:t>
            </w:r>
          </w:p>
          <w:p w14:paraId="345568FF" w14:textId="77777777" w:rsidR="00F66820" w:rsidRPr="00D7569C" w:rsidRDefault="00F66820" w:rsidP="00E5644C">
            <w:pPr>
              <w:pStyle w:val="BodyA"/>
              <w:suppressAutoHyphens/>
              <w:spacing w:line="336" w:lineRule="auto"/>
              <w:rPr>
                <w:rFonts w:asciiTheme="minorHAnsi" w:hAnsiTheme="minorHAnsi"/>
                <w:color w:val="000000" w:themeColor="text1"/>
              </w:rPr>
            </w:pPr>
            <w:r w:rsidRPr="00D7569C">
              <w:rPr>
                <w:rFonts w:asciiTheme="minorHAnsi" w:hAnsiTheme="minorHAnsi"/>
                <w:b/>
                <w:bCs/>
                <w:color w:val="000000" w:themeColor="text1"/>
              </w:rPr>
              <w:lastRenderedPageBreak/>
              <w:t>The Quorum</w:t>
            </w:r>
            <w:r w:rsidRPr="00D7569C">
              <w:rPr>
                <w:rFonts w:asciiTheme="minorHAnsi" w:hAnsiTheme="minorHAnsi"/>
                <w:color w:val="000000" w:themeColor="text1"/>
              </w:rPr>
              <w:t xml:space="preserve"> for a meeting will be seven which must include the Convenor</w:t>
            </w:r>
            <w:r>
              <w:rPr>
                <w:rFonts w:asciiTheme="minorHAnsi" w:hAnsiTheme="minorHAnsi"/>
                <w:color w:val="000000" w:themeColor="text1"/>
              </w:rPr>
              <w:t xml:space="preserve"> or an Association Executive Officer</w:t>
            </w:r>
            <w:r w:rsidRPr="00D7569C">
              <w:rPr>
                <w:rFonts w:asciiTheme="minorHAnsi" w:hAnsiTheme="minorHAnsi"/>
                <w:color w:val="000000" w:themeColor="text1"/>
              </w:rPr>
              <w:t xml:space="preserve"> and at least three district representatives. Decisions by the sub-committee will be by majority of those present. All members of the committee, except additional district representatives in a hand-over period, will be eligible to vote on proposals (including</w:t>
            </w:r>
            <w:r>
              <w:rPr>
                <w:rFonts w:asciiTheme="minorHAnsi" w:hAnsiTheme="minorHAnsi"/>
                <w:color w:val="000000" w:themeColor="text1"/>
              </w:rPr>
              <w:t xml:space="preserve"> Association</w:t>
            </w:r>
            <w:r w:rsidRPr="00D7569C">
              <w:rPr>
                <w:rFonts w:asciiTheme="minorHAnsi" w:hAnsiTheme="minorHAnsi"/>
                <w:color w:val="000000" w:themeColor="text1"/>
              </w:rPr>
              <w:t xml:space="preserve"> Executive Officers).</w:t>
            </w:r>
          </w:p>
          <w:p w14:paraId="4BA9BB1A" w14:textId="77777777" w:rsidR="00F66820" w:rsidRPr="00635590" w:rsidRDefault="00F66820" w:rsidP="00E5644C"/>
        </w:tc>
      </w:tr>
      <w:tr w:rsidR="00F66820" w:rsidRPr="00635590" w14:paraId="64E882A0" w14:textId="77777777" w:rsidTr="00E5644C">
        <w:tc>
          <w:tcPr>
            <w:tcW w:w="0" w:type="auto"/>
            <w:tcMar>
              <w:top w:w="60" w:type="dxa"/>
              <w:left w:w="75" w:type="dxa"/>
              <w:bottom w:w="60" w:type="dxa"/>
              <w:right w:w="150" w:type="dxa"/>
            </w:tcMar>
            <w:vAlign w:val="center"/>
            <w:hideMark/>
          </w:tcPr>
          <w:p w14:paraId="2C357186" w14:textId="77777777" w:rsidR="00F66820" w:rsidRPr="003840C8" w:rsidRDefault="00F66820" w:rsidP="00E5644C">
            <w:pPr>
              <w:rPr>
                <w:b/>
              </w:rPr>
            </w:pPr>
            <w:r w:rsidRPr="003840C8">
              <w:rPr>
                <w:b/>
              </w:rPr>
              <w:lastRenderedPageBreak/>
              <w:t>Record of meetings</w:t>
            </w:r>
          </w:p>
        </w:tc>
        <w:tc>
          <w:tcPr>
            <w:tcW w:w="0" w:type="auto"/>
          </w:tcPr>
          <w:p w14:paraId="1950F680" w14:textId="77777777" w:rsidR="00F66820" w:rsidRDefault="00F66820" w:rsidP="00E5644C"/>
        </w:tc>
        <w:tc>
          <w:tcPr>
            <w:tcW w:w="0" w:type="auto"/>
            <w:tcMar>
              <w:top w:w="60" w:type="dxa"/>
              <w:left w:w="75" w:type="dxa"/>
              <w:bottom w:w="60" w:type="dxa"/>
              <w:right w:w="150" w:type="dxa"/>
            </w:tcMar>
            <w:vAlign w:val="center"/>
            <w:hideMark/>
          </w:tcPr>
          <w:p w14:paraId="520D57A7" w14:textId="77777777" w:rsidR="00F66820" w:rsidRPr="00635590" w:rsidRDefault="00F66820" w:rsidP="00E5644C">
            <w:r>
              <w:t xml:space="preserve">One member of the committee will be appointed as secretary and will take minutes which will be circulated by email to the committee members and placed on the EACR website for general reference. Minutes shall be approved at the following meeting. </w:t>
            </w:r>
          </w:p>
        </w:tc>
      </w:tr>
      <w:tr w:rsidR="00F66820" w:rsidRPr="00635590" w14:paraId="62C25DE2" w14:textId="77777777" w:rsidTr="00E5644C">
        <w:tc>
          <w:tcPr>
            <w:tcW w:w="0" w:type="auto"/>
            <w:tcMar>
              <w:top w:w="60" w:type="dxa"/>
              <w:left w:w="75" w:type="dxa"/>
              <w:bottom w:w="60" w:type="dxa"/>
              <w:right w:w="150" w:type="dxa"/>
            </w:tcMar>
            <w:vAlign w:val="center"/>
            <w:hideMark/>
          </w:tcPr>
          <w:p w14:paraId="46E80F9D" w14:textId="77777777" w:rsidR="00F66820" w:rsidRPr="003840C8" w:rsidRDefault="00F66820" w:rsidP="00E5644C">
            <w:pPr>
              <w:rPr>
                <w:b/>
              </w:rPr>
            </w:pPr>
            <w:r w:rsidRPr="003840C8">
              <w:rPr>
                <w:b/>
              </w:rPr>
              <w:t>Reporting mechanism</w:t>
            </w:r>
          </w:p>
        </w:tc>
        <w:tc>
          <w:tcPr>
            <w:tcW w:w="0" w:type="auto"/>
          </w:tcPr>
          <w:p w14:paraId="4FABCB8E" w14:textId="77777777" w:rsidR="00F66820" w:rsidRDefault="00F66820" w:rsidP="00E5644C"/>
        </w:tc>
        <w:tc>
          <w:tcPr>
            <w:tcW w:w="0" w:type="auto"/>
            <w:tcMar>
              <w:top w:w="60" w:type="dxa"/>
              <w:left w:w="75" w:type="dxa"/>
              <w:bottom w:w="60" w:type="dxa"/>
              <w:right w:w="150" w:type="dxa"/>
            </w:tcMar>
            <w:vAlign w:val="center"/>
            <w:hideMark/>
          </w:tcPr>
          <w:p w14:paraId="0CACF868" w14:textId="77777777" w:rsidR="00F66820" w:rsidRPr="00635590" w:rsidRDefault="00F66820" w:rsidP="00E5644C">
            <w:r>
              <w:t>The committee reports to the Association Management Committee Meeting twice yearly.</w:t>
            </w:r>
          </w:p>
        </w:tc>
      </w:tr>
      <w:tr w:rsidR="00F66820" w:rsidRPr="00635590" w14:paraId="19784C20" w14:textId="77777777" w:rsidTr="00E5644C">
        <w:tc>
          <w:tcPr>
            <w:tcW w:w="0" w:type="auto"/>
            <w:tcMar>
              <w:top w:w="60" w:type="dxa"/>
              <w:left w:w="75" w:type="dxa"/>
              <w:bottom w:w="60" w:type="dxa"/>
              <w:right w:w="150" w:type="dxa"/>
            </w:tcMar>
            <w:vAlign w:val="center"/>
            <w:hideMark/>
          </w:tcPr>
          <w:p w14:paraId="55989878" w14:textId="77777777" w:rsidR="00F66820" w:rsidRPr="003840C8" w:rsidRDefault="00F66820" w:rsidP="00E5644C">
            <w:pPr>
              <w:rPr>
                <w:b/>
              </w:rPr>
            </w:pPr>
            <w:r w:rsidRPr="003840C8">
              <w:rPr>
                <w:b/>
              </w:rPr>
              <w:t>Functions and delegated authority</w:t>
            </w:r>
          </w:p>
        </w:tc>
        <w:tc>
          <w:tcPr>
            <w:tcW w:w="0" w:type="auto"/>
          </w:tcPr>
          <w:p w14:paraId="5A1E069D" w14:textId="77777777" w:rsidR="00F66820" w:rsidRPr="002B08FD" w:rsidRDefault="00F66820" w:rsidP="00E5644C">
            <w:pPr>
              <w:pStyle w:val="BodyA"/>
              <w:suppressAutoHyphens/>
              <w:spacing w:line="336" w:lineRule="auto"/>
              <w:rPr>
                <w:rFonts w:asciiTheme="minorHAnsi" w:hAnsiTheme="minorHAnsi"/>
                <w:b/>
                <w:bCs/>
              </w:rPr>
            </w:pPr>
          </w:p>
        </w:tc>
        <w:tc>
          <w:tcPr>
            <w:tcW w:w="0" w:type="auto"/>
            <w:tcMar>
              <w:top w:w="60" w:type="dxa"/>
              <w:left w:w="75" w:type="dxa"/>
              <w:bottom w:w="60" w:type="dxa"/>
              <w:right w:w="150" w:type="dxa"/>
            </w:tcMar>
            <w:vAlign w:val="center"/>
            <w:hideMark/>
          </w:tcPr>
          <w:p w14:paraId="4CF098C4"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b/>
                <w:bCs/>
              </w:rPr>
              <w:t>Objectives</w:t>
            </w:r>
          </w:p>
          <w:p w14:paraId="452167FA"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rPr>
              <w:t>To promote and encourage the skilled practice of bell ringing and support the recruitment, training and development of bell ringers in Essex. To consider how ringing should develop in the county over a five</w:t>
            </w:r>
            <w:r>
              <w:rPr>
                <w:rFonts w:asciiTheme="minorHAnsi" w:hAnsiTheme="minorHAnsi"/>
              </w:rPr>
              <w:t>-</w:t>
            </w:r>
            <w:r w:rsidRPr="002B08FD">
              <w:rPr>
                <w:rFonts w:asciiTheme="minorHAnsi" w:hAnsiTheme="minorHAnsi"/>
              </w:rPr>
              <w:t>and</w:t>
            </w:r>
            <w:r>
              <w:rPr>
                <w:rFonts w:asciiTheme="minorHAnsi" w:hAnsiTheme="minorHAnsi"/>
              </w:rPr>
              <w:t>-</w:t>
            </w:r>
            <w:r w:rsidRPr="002B08FD">
              <w:rPr>
                <w:rFonts w:asciiTheme="minorHAnsi" w:hAnsiTheme="minorHAnsi"/>
              </w:rPr>
              <w:t>ten</w:t>
            </w:r>
            <w:r>
              <w:rPr>
                <w:rFonts w:asciiTheme="minorHAnsi" w:hAnsiTheme="minorHAnsi"/>
              </w:rPr>
              <w:t>-</w:t>
            </w:r>
            <w:r w:rsidRPr="002B08FD">
              <w:rPr>
                <w:rFonts w:asciiTheme="minorHAnsi" w:hAnsiTheme="minorHAnsi"/>
              </w:rPr>
              <w:t>year time period and how this target can be achieved.</w:t>
            </w:r>
          </w:p>
          <w:p w14:paraId="2D9EB451" w14:textId="77777777" w:rsidR="00F66820" w:rsidRPr="002B08FD" w:rsidRDefault="00F66820" w:rsidP="00E5644C">
            <w:pPr>
              <w:pStyle w:val="BodyA"/>
              <w:suppressAutoHyphens/>
              <w:spacing w:line="336" w:lineRule="auto"/>
              <w:rPr>
                <w:rFonts w:asciiTheme="minorHAnsi" w:hAnsiTheme="minorHAnsi"/>
              </w:rPr>
            </w:pPr>
          </w:p>
          <w:p w14:paraId="3C7860BE"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rPr>
              <w:t xml:space="preserve">To provide advice and guidance on the recruitment and training of new and existing ringers and the development of towers and training hubs to ensure regular service ringing in all towers. To coordinate training events at Association and District level as required including working with </w:t>
            </w:r>
            <w:proofErr w:type="spellStart"/>
            <w:r w:rsidRPr="002B08FD">
              <w:rPr>
                <w:rFonts w:asciiTheme="minorHAnsi" w:hAnsiTheme="minorHAnsi"/>
              </w:rPr>
              <w:t>recognised</w:t>
            </w:r>
            <w:proofErr w:type="spellEnd"/>
            <w:r w:rsidRPr="002B08FD">
              <w:rPr>
                <w:rFonts w:asciiTheme="minorHAnsi" w:hAnsiTheme="minorHAnsi"/>
              </w:rPr>
              <w:t xml:space="preserve"> national bodies offering training and guidance.</w:t>
            </w:r>
          </w:p>
          <w:p w14:paraId="71242047" w14:textId="77777777" w:rsidR="00F66820" w:rsidRPr="002B08FD" w:rsidRDefault="00F66820" w:rsidP="00E5644C">
            <w:pPr>
              <w:pStyle w:val="BodyA"/>
              <w:suppressAutoHyphens/>
              <w:spacing w:line="336" w:lineRule="auto"/>
              <w:rPr>
                <w:rFonts w:asciiTheme="minorHAnsi" w:hAnsiTheme="minorHAnsi"/>
              </w:rPr>
            </w:pPr>
          </w:p>
          <w:p w14:paraId="11F73A08" w14:textId="77777777" w:rsidR="00F66820" w:rsidRPr="002B08FD" w:rsidRDefault="00F66820" w:rsidP="00E5644C">
            <w:pPr>
              <w:pStyle w:val="BodyA"/>
              <w:suppressAutoHyphens/>
              <w:spacing w:line="336" w:lineRule="auto"/>
              <w:rPr>
                <w:rFonts w:asciiTheme="minorHAnsi" w:hAnsiTheme="minorHAnsi"/>
              </w:rPr>
            </w:pPr>
            <w:r w:rsidRPr="002B08FD">
              <w:rPr>
                <w:rFonts w:asciiTheme="minorHAnsi" w:hAnsiTheme="minorHAnsi"/>
                <w:b/>
                <w:bCs/>
              </w:rPr>
              <w:t>Responsibilities</w:t>
            </w:r>
          </w:p>
          <w:p w14:paraId="547A10A8" w14:textId="77777777" w:rsidR="00F66820" w:rsidRPr="002B08FD" w:rsidRDefault="00F66820" w:rsidP="00E5644C">
            <w:pPr>
              <w:pStyle w:val="BodyA"/>
              <w:numPr>
                <w:ilvl w:val="1"/>
                <w:numId w:val="3"/>
              </w:numPr>
              <w:suppressAutoHyphens/>
              <w:spacing w:before="60" w:line="336" w:lineRule="auto"/>
              <w:rPr>
                <w:rFonts w:asciiTheme="minorHAnsi" w:hAnsiTheme="minorHAnsi"/>
              </w:rPr>
            </w:pPr>
            <w:proofErr w:type="spellStart"/>
            <w:r w:rsidRPr="002B08FD">
              <w:rPr>
                <w:rFonts w:asciiTheme="minorHAnsi" w:hAnsiTheme="minorHAnsi"/>
              </w:rPr>
              <w:t>Organising</w:t>
            </w:r>
            <w:proofErr w:type="spellEnd"/>
            <w:r w:rsidRPr="002B08FD">
              <w:rPr>
                <w:rFonts w:asciiTheme="minorHAnsi" w:hAnsiTheme="minorHAnsi"/>
              </w:rPr>
              <w:t xml:space="preserve"> the EACR Training Day generally held in November and supporting the running of the Essex Ringing Course in April.</w:t>
            </w:r>
          </w:p>
          <w:p w14:paraId="69DDEF5F" w14:textId="77777777" w:rsidR="00F66820" w:rsidRPr="002B08FD" w:rsidRDefault="00F66820" w:rsidP="00E5644C">
            <w:pPr>
              <w:pStyle w:val="BodyA"/>
              <w:numPr>
                <w:ilvl w:val="1"/>
                <w:numId w:val="3"/>
              </w:numPr>
              <w:suppressAutoHyphens/>
              <w:spacing w:before="60" w:line="336" w:lineRule="auto"/>
              <w:rPr>
                <w:rFonts w:asciiTheme="minorHAnsi" w:hAnsiTheme="minorHAnsi"/>
              </w:rPr>
            </w:pPr>
            <w:r w:rsidRPr="002B08FD">
              <w:rPr>
                <w:rFonts w:asciiTheme="minorHAnsi" w:hAnsiTheme="minorHAnsi"/>
              </w:rPr>
              <w:t xml:space="preserve">Advertising the availability of the Recruitment and Education fund. </w:t>
            </w:r>
          </w:p>
          <w:p w14:paraId="0234F066" w14:textId="77777777" w:rsidR="00F66820" w:rsidRPr="002B08FD" w:rsidRDefault="00F66820" w:rsidP="00E5644C">
            <w:pPr>
              <w:pStyle w:val="BodyA"/>
              <w:numPr>
                <w:ilvl w:val="1"/>
                <w:numId w:val="3"/>
              </w:numPr>
              <w:suppressAutoHyphens/>
              <w:spacing w:before="60" w:line="336" w:lineRule="auto"/>
              <w:rPr>
                <w:rFonts w:asciiTheme="minorHAnsi" w:hAnsiTheme="minorHAnsi"/>
              </w:rPr>
            </w:pPr>
            <w:r w:rsidRPr="002B08FD">
              <w:rPr>
                <w:rFonts w:asciiTheme="minorHAnsi" w:hAnsiTheme="minorHAnsi"/>
              </w:rPr>
              <w:t xml:space="preserve">Promoting recruitment via the website. Assisting districts and towers in their recruiting and ringing development, encouraging the adoption of </w:t>
            </w:r>
            <w:r>
              <w:rPr>
                <w:rFonts w:asciiTheme="minorHAnsi" w:hAnsiTheme="minorHAnsi"/>
              </w:rPr>
              <w:t>best ringing teaching practice</w:t>
            </w:r>
            <w:r w:rsidRPr="002B08FD">
              <w:rPr>
                <w:rFonts w:asciiTheme="minorHAnsi" w:hAnsiTheme="minorHAnsi"/>
              </w:rPr>
              <w:t xml:space="preserve"> and facilitating A</w:t>
            </w:r>
            <w:r>
              <w:rPr>
                <w:rFonts w:asciiTheme="minorHAnsi" w:hAnsiTheme="minorHAnsi"/>
              </w:rPr>
              <w:t xml:space="preserve">ssociation of </w:t>
            </w:r>
            <w:r w:rsidRPr="002B08FD">
              <w:rPr>
                <w:rFonts w:asciiTheme="minorHAnsi" w:hAnsiTheme="minorHAnsi"/>
              </w:rPr>
              <w:t>R</w:t>
            </w:r>
            <w:r>
              <w:rPr>
                <w:rFonts w:asciiTheme="minorHAnsi" w:hAnsiTheme="minorHAnsi"/>
              </w:rPr>
              <w:t xml:space="preserve">inging </w:t>
            </w:r>
            <w:r w:rsidRPr="002B08FD">
              <w:rPr>
                <w:rFonts w:asciiTheme="minorHAnsi" w:hAnsiTheme="minorHAnsi"/>
              </w:rPr>
              <w:t>T</w:t>
            </w:r>
            <w:r>
              <w:rPr>
                <w:rFonts w:asciiTheme="minorHAnsi" w:hAnsiTheme="minorHAnsi"/>
              </w:rPr>
              <w:t>eachers (ART)</w:t>
            </w:r>
            <w:r w:rsidRPr="002B08FD">
              <w:rPr>
                <w:rFonts w:asciiTheme="minorHAnsi" w:hAnsiTheme="minorHAnsi"/>
              </w:rPr>
              <w:t xml:space="preserve"> and other courses in the </w:t>
            </w:r>
            <w:r w:rsidRPr="002B08FD">
              <w:rPr>
                <w:rFonts w:asciiTheme="minorHAnsi" w:hAnsiTheme="minorHAnsi"/>
              </w:rPr>
              <w:lastRenderedPageBreak/>
              <w:t>county. Enabling ringers who have attended ART courses to move to accreditation.</w:t>
            </w:r>
          </w:p>
          <w:p w14:paraId="43F72736" w14:textId="77777777" w:rsidR="00F66820" w:rsidRPr="002B08FD" w:rsidRDefault="00F66820" w:rsidP="00E5644C">
            <w:pPr>
              <w:pStyle w:val="BodyA"/>
              <w:numPr>
                <w:ilvl w:val="1"/>
                <w:numId w:val="3"/>
              </w:numPr>
              <w:suppressAutoHyphens/>
              <w:spacing w:before="60" w:line="336" w:lineRule="auto"/>
              <w:rPr>
                <w:rFonts w:asciiTheme="minorHAnsi" w:hAnsiTheme="minorHAnsi"/>
              </w:rPr>
            </w:pPr>
            <w:r w:rsidRPr="002B08FD">
              <w:rPr>
                <w:rFonts w:asciiTheme="minorHAnsi" w:hAnsiTheme="minorHAnsi"/>
              </w:rPr>
              <w:t xml:space="preserve">Developing and maintaining a resources hub. </w:t>
            </w:r>
          </w:p>
          <w:p w14:paraId="7BA81842" w14:textId="77777777" w:rsidR="00F66820" w:rsidRPr="002B08FD" w:rsidRDefault="00F66820" w:rsidP="00E5644C">
            <w:pPr>
              <w:pStyle w:val="BodyA"/>
              <w:numPr>
                <w:ilvl w:val="1"/>
                <w:numId w:val="3"/>
              </w:numPr>
              <w:suppressAutoHyphens/>
              <w:spacing w:before="60" w:line="336" w:lineRule="auto"/>
              <w:rPr>
                <w:rFonts w:asciiTheme="minorHAnsi" w:hAnsiTheme="minorHAnsi"/>
              </w:rPr>
            </w:pPr>
            <w:r w:rsidRPr="002B08FD">
              <w:rPr>
                <w:rFonts w:asciiTheme="minorHAnsi" w:hAnsiTheme="minorHAnsi"/>
              </w:rPr>
              <w:t>Providing assistance to those wishing to set up training hubs or ringing schools.</w:t>
            </w:r>
          </w:p>
          <w:p w14:paraId="7AB7A46B" w14:textId="77777777" w:rsidR="00F66820" w:rsidRPr="002B08FD" w:rsidRDefault="00F66820" w:rsidP="00E5644C">
            <w:pPr>
              <w:pStyle w:val="BodyA"/>
              <w:numPr>
                <w:ilvl w:val="1"/>
                <w:numId w:val="3"/>
              </w:numPr>
              <w:suppressAutoHyphens/>
              <w:spacing w:before="60" w:line="336" w:lineRule="auto"/>
              <w:rPr>
                <w:rFonts w:asciiTheme="minorHAnsi" w:hAnsiTheme="minorHAnsi"/>
              </w:rPr>
            </w:pPr>
            <w:r w:rsidRPr="002B08FD">
              <w:rPr>
                <w:rFonts w:asciiTheme="minorHAnsi" w:hAnsiTheme="minorHAnsi"/>
              </w:rPr>
              <w:t xml:space="preserve">Encouraging novice peal ringers and facilitating peal attempts. </w:t>
            </w:r>
          </w:p>
          <w:p w14:paraId="722B943B" w14:textId="77777777" w:rsidR="00F66820" w:rsidRDefault="00F66820" w:rsidP="00E5644C">
            <w:pPr>
              <w:pStyle w:val="BodyA"/>
              <w:numPr>
                <w:ilvl w:val="1"/>
                <w:numId w:val="3"/>
              </w:numPr>
              <w:suppressAutoHyphens/>
              <w:spacing w:before="60" w:line="336" w:lineRule="auto"/>
              <w:rPr>
                <w:rFonts w:asciiTheme="minorHAnsi" w:hAnsiTheme="minorHAnsi"/>
              </w:rPr>
            </w:pPr>
            <w:r w:rsidRPr="002B08FD">
              <w:rPr>
                <w:rFonts w:asciiTheme="minorHAnsi" w:hAnsiTheme="minorHAnsi"/>
              </w:rPr>
              <w:t>Providing training in tower management.</w:t>
            </w:r>
          </w:p>
          <w:p w14:paraId="0CE282EA" w14:textId="77777777" w:rsidR="00F66820" w:rsidRDefault="00F66820" w:rsidP="00E5644C">
            <w:pPr>
              <w:pStyle w:val="BodyA"/>
              <w:suppressAutoHyphens/>
              <w:spacing w:before="60" w:line="336" w:lineRule="auto"/>
              <w:rPr>
                <w:rFonts w:asciiTheme="minorHAnsi" w:hAnsiTheme="minorHAnsi"/>
              </w:rPr>
            </w:pPr>
            <w:r>
              <w:rPr>
                <w:rFonts w:asciiTheme="minorHAnsi" w:hAnsiTheme="minorHAnsi"/>
              </w:rPr>
              <w:br/>
              <w:t xml:space="preserve">Financial responsibilities </w:t>
            </w:r>
          </w:p>
          <w:p w14:paraId="68C4F8A3" w14:textId="77777777" w:rsidR="00F66820" w:rsidRPr="0025706A" w:rsidRDefault="00F66820" w:rsidP="00E5644C">
            <w:pPr>
              <w:pStyle w:val="BodyA"/>
              <w:numPr>
                <w:ilvl w:val="0"/>
                <w:numId w:val="4"/>
              </w:numPr>
              <w:suppressAutoHyphens/>
              <w:spacing w:before="60" w:line="336" w:lineRule="auto"/>
              <w:rPr>
                <w:rFonts w:asciiTheme="minorHAnsi" w:hAnsiTheme="minorHAnsi"/>
              </w:rPr>
            </w:pPr>
            <w:r w:rsidRPr="0025706A">
              <w:rPr>
                <w:rFonts w:asciiTheme="minorHAnsi" w:hAnsiTheme="minorHAnsi"/>
                <w:color w:val="000000" w:themeColor="text1"/>
              </w:rPr>
              <w:t>The sub-committee will set budget</w:t>
            </w:r>
            <w:r>
              <w:rPr>
                <w:rFonts w:asciiTheme="minorHAnsi" w:hAnsiTheme="minorHAnsi"/>
                <w:color w:val="000000" w:themeColor="text1"/>
              </w:rPr>
              <w:t>s</w:t>
            </w:r>
            <w:r w:rsidRPr="0025706A">
              <w:rPr>
                <w:rFonts w:asciiTheme="minorHAnsi" w:hAnsiTheme="minorHAnsi"/>
                <w:color w:val="000000" w:themeColor="text1"/>
              </w:rPr>
              <w:t xml:space="preserve"> for </w:t>
            </w:r>
            <w:r>
              <w:rPr>
                <w:rFonts w:asciiTheme="minorHAnsi" w:hAnsiTheme="minorHAnsi"/>
                <w:color w:val="000000" w:themeColor="text1"/>
              </w:rPr>
              <w:t xml:space="preserve">specific projects </w:t>
            </w:r>
            <w:proofErr w:type="spellStart"/>
            <w:r>
              <w:rPr>
                <w:rFonts w:asciiTheme="minorHAnsi" w:hAnsiTheme="minorHAnsi"/>
                <w:color w:val="000000" w:themeColor="text1"/>
              </w:rPr>
              <w:t>eg</w:t>
            </w:r>
            <w:proofErr w:type="spellEnd"/>
            <w:r>
              <w:rPr>
                <w:rFonts w:asciiTheme="minorHAnsi" w:hAnsiTheme="minorHAnsi"/>
                <w:color w:val="000000" w:themeColor="text1"/>
              </w:rPr>
              <w:t xml:space="preserve"> Universities initiative</w:t>
            </w:r>
            <w:r w:rsidRPr="0025706A">
              <w:rPr>
                <w:rFonts w:asciiTheme="minorHAnsi" w:hAnsiTheme="minorHAnsi"/>
                <w:color w:val="000000" w:themeColor="text1"/>
              </w:rPr>
              <w:t xml:space="preserve">, reviewed </w:t>
            </w:r>
            <w:r>
              <w:rPr>
                <w:rFonts w:asciiTheme="minorHAnsi" w:hAnsiTheme="minorHAnsi"/>
                <w:color w:val="000000" w:themeColor="text1"/>
              </w:rPr>
              <w:t>in a timely manner</w:t>
            </w:r>
            <w:r w:rsidRPr="0025706A">
              <w:rPr>
                <w:rFonts w:asciiTheme="minorHAnsi" w:hAnsiTheme="minorHAnsi"/>
                <w:color w:val="000000" w:themeColor="text1"/>
              </w:rPr>
              <w:t>, to target areas where financial input can make a difference to the delivery of recruitment and training.</w:t>
            </w:r>
          </w:p>
          <w:p w14:paraId="678376CE" w14:textId="77777777" w:rsidR="00F66820" w:rsidRDefault="00F66820" w:rsidP="00E5644C">
            <w:pPr>
              <w:pStyle w:val="Default"/>
              <w:numPr>
                <w:ilvl w:val="0"/>
                <w:numId w:val="4"/>
              </w:numPr>
              <w:suppressAutoHyphens/>
              <w:spacing w:before="60" w:line="336" w:lineRule="auto"/>
              <w:rPr>
                <w:rFonts w:asciiTheme="minorHAnsi" w:hAnsiTheme="minorHAnsi"/>
                <w:sz w:val="22"/>
                <w:szCs w:val="22"/>
              </w:rPr>
            </w:pPr>
            <w:r w:rsidRPr="002B08FD">
              <w:rPr>
                <w:rFonts w:asciiTheme="minorHAnsi" w:hAnsiTheme="minorHAnsi"/>
                <w:sz w:val="22"/>
                <w:szCs w:val="22"/>
              </w:rPr>
              <w:t>The sub-committee is responsible for receiving, discussing and approving grants from the Recruitment and Training Fund.</w:t>
            </w:r>
            <w:r>
              <w:rPr>
                <w:rFonts w:asciiTheme="minorHAnsi" w:hAnsiTheme="minorHAnsi"/>
                <w:sz w:val="22"/>
                <w:szCs w:val="22"/>
              </w:rPr>
              <w:t xml:space="preserve"> Any member of the sub-committee should declare a conflict of interest should this arise and remove themselves from discussion about any relevant grant application.</w:t>
            </w:r>
          </w:p>
          <w:p w14:paraId="3971A4C3" w14:textId="77777777" w:rsidR="00F66820" w:rsidRPr="00170FFA" w:rsidRDefault="00F66820" w:rsidP="00E5644C">
            <w:pPr>
              <w:pStyle w:val="Default"/>
              <w:numPr>
                <w:ilvl w:val="0"/>
                <w:numId w:val="4"/>
              </w:numPr>
              <w:suppressAutoHyphens/>
              <w:spacing w:before="60" w:line="336" w:lineRule="auto"/>
              <w:rPr>
                <w:rFonts w:asciiTheme="minorHAnsi" w:hAnsiTheme="minorHAnsi" w:cstheme="minorHAnsi"/>
                <w:sz w:val="22"/>
                <w:szCs w:val="22"/>
              </w:rPr>
            </w:pPr>
            <w:r w:rsidRPr="00170FFA">
              <w:rPr>
                <w:rFonts w:asciiTheme="minorHAnsi" w:hAnsiTheme="minorHAnsi" w:cstheme="minorHAnsi"/>
                <w:sz w:val="22"/>
                <w:szCs w:val="22"/>
              </w:rPr>
              <w:t xml:space="preserve">The sub-committee has the delegated authority to approve applications to the Recruitment and Training Fund up to the value of £250. Decisions made under delegated authority should be compliant with the Association </w:t>
            </w:r>
            <w:r>
              <w:rPr>
                <w:rFonts w:asciiTheme="minorHAnsi" w:hAnsiTheme="minorHAnsi" w:cstheme="minorHAnsi"/>
                <w:sz w:val="22"/>
                <w:szCs w:val="22"/>
              </w:rPr>
              <w:t>R</w:t>
            </w:r>
            <w:r w:rsidRPr="00170FFA">
              <w:rPr>
                <w:rFonts w:asciiTheme="minorHAnsi" w:hAnsiTheme="minorHAnsi" w:cstheme="minorHAnsi"/>
                <w:sz w:val="22"/>
                <w:szCs w:val="22"/>
              </w:rPr>
              <w:t xml:space="preserve">ules and Objects, and will be reviewed by trustees on an annual basis. </w:t>
            </w:r>
          </w:p>
          <w:p w14:paraId="57CAA435" w14:textId="77777777" w:rsidR="00F66820" w:rsidRDefault="00F66820" w:rsidP="00E5644C"/>
          <w:p w14:paraId="140A5727" w14:textId="77777777" w:rsidR="00F66820" w:rsidRDefault="00F66820" w:rsidP="00E5644C"/>
          <w:p w14:paraId="6BBE3B19" w14:textId="77777777" w:rsidR="00F66820" w:rsidRDefault="00F66820" w:rsidP="00E5644C">
            <w:pPr>
              <w:pStyle w:val="Default"/>
              <w:suppressAutoHyphens/>
              <w:spacing w:before="60" w:line="336" w:lineRule="auto"/>
              <w:jc w:val="right"/>
              <w:rPr>
                <w:rFonts w:asciiTheme="minorHAnsi" w:hAnsiTheme="minorHAnsi"/>
                <w:sz w:val="22"/>
                <w:szCs w:val="22"/>
              </w:rPr>
            </w:pPr>
            <w:r w:rsidRPr="002B08FD">
              <w:rPr>
                <w:rFonts w:asciiTheme="minorHAnsi" w:hAnsiTheme="minorHAnsi"/>
                <w:sz w:val="22"/>
                <w:szCs w:val="22"/>
              </w:rPr>
              <w:t xml:space="preserve">Beth Johnson EACR Education Officer </w:t>
            </w:r>
            <w:r>
              <w:rPr>
                <w:rFonts w:asciiTheme="minorHAnsi" w:hAnsiTheme="minorHAnsi"/>
                <w:sz w:val="22"/>
                <w:szCs w:val="22"/>
              </w:rPr>
              <w:t>03 August 2025</w:t>
            </w:r>
          </w:p>
          <w:p w14:paraId="7BEE164E" w14:textId="77777777" w:rsidR="00F66820" w:rsidRPr="002B08FD" w:rsidRDefault="00F66820" w:rsidP="00E5644C">
            <w:pPr>
              <w:pStyle w:val="Default"/>
              <w:suppressAutoHyphens/>
              <w:spacing w:before="60" w:line="336" w:lineRule="auto"/>
              <w:jc w:val="right"/>
              <w:rPr>
                <w:rFonts w:asciiTheme="minorHAnsi" w:hAnsiTheme="minorHAnsi"/>
              </w:rPr>
            </w:pPr>
            <w:r>
              <w:rPr>
                <w:rFonts w:asciiTheme="minorHAnsi" w:hAnsiTheme="minorHAnsi"/>
                <w:sz w:val="22"/>
                <w:szCs w:val="22"/>
              </w:rPr>
              <w:t xml:space="preserve">Previous TOR approved at Trustee meeting July 2021 </w:t>
            </w:r>
          </w:p>
          <w:p w14:paraId="77DAA1A6" w14:textId="77777777" w:rsidR="00F66820" w:rsidRPr="00635590" w:rsidRDefault="00F66820" w:rsidP="00E5644C"/>
        </w:tc>
      </w:tr>
    </w:tbl>
    <w:p w14:paraId="370D33FA" w14:textId="77777777" w:rsidR="00F66820" w:rsidRDefault="00F66820" w:rsidP="00F66820"/>
    <w:p w14:paraId="0AA49DF5" w14:textId="77777777" w:rsidR="00CC1DF8" w:rsidRDefault="00CC1DF8"/>
    <w:sectPr w:rsidR="00CC1DF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EFC1" w14:textId="77777777" w:rsidR="009439BC" w:rsidRDefault="009439BC" w:rsidP="0068320D">
      <w:pPr>
        <w:spacing w:after="0" w:line="240" w:lineRule="auto"/>
      </w:pPr>
      <w:r>
        <w:separator/>
      </w:r>
    </w:p>
  </w:endnote>
  <w:endnote w:type="continuationSeparator" w:id="0">
    <w:p w14:paraId="5F042635" w14:textId="77777777" w:rsidR="009439BC" w:rsidRDefault="009439BC" w:rsidP="00683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Helvetica Narrow">
    <w:panose1 w:val="020B0606020102020204"/>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0250" w14:textId="4B02CF27" w:rsidR="0068320D" w:rsidRDefault="0068320D">
    <w:pPr>
      <w:pStyle w:val="Footer"/>
    </w:pPr>
    <w:r>
      <w:rPr>
        <w:rFonts w:ascii="Helvetica Narrow" w:hAnsi="Helvetica Narrow" w:cs="Helvetica Narrow"/>
        <w:color w:val="000000"/>
        <w:sz w:val="20"/>
        <w:szCs w:val="20"/>
        <w14:ligatures w14:val="standardContextual"/>
      </w:rPr>
      <w:t>The Essex Association of Change Ringers</w:t>
    </w:r>
    <w:r>
      <w:rPr>
        <w:rFonts w:ascii="Helvetica Narrow" w:hAnsi="Helvetica Narrow" w:cs="Helvetica Narrow"/>
        <w:color w:val="000000"/>
        <w:sz w:val="20"/>
        <w:szCs w:val="20"/>
        <w14:ligatures w14:val="standardContextual"/>
      </w:rPr>
      <w:t xml:space="preserve">. </w:t>
    </w:r>
    <w:r>
      <w:rPr>
        <w:rFonts w:ascii="Helvetica Narrow" w:hAnsi="Helvetica Narrow" w:cs="Helvetica Narrow"/>
        <w:color w:val="000000"/>
        <w:sz w:val="20"/>
        <w:szCs w:val="20"/>
        <w14:ligatures w14:val="standardContextual"/>
      </w:rPr>
      <w:t>Registered as a Charity No 292250</w:t>
    </w:r>
    <w:r>
      <w:rPr>
        <w:rFonts w:ascii="Helvetica Narrow" w:hAnsi="Helvetica Narrow" w:cs="Helvetica Narrow"/>
        <w:color w:val="000000"/>
        <w:sz w:val="20"/>
        <w:szCs w:val="20"/>
        <w14:ligatures w14:val="standardContextual"/>
      </w:rPr>
      <w:t>.</w:t>
    </w:r>
  </w:p>
  <w:p w14:paraId="37137090" w14:textId="77777777" w:rsidR="0068320D" w:rsidRDefault="00683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7CE77" w14:textId="77777777" w:rsidR="009439BC" w:rsidRDefault="009439BC" w:rsidP="0068320D">
      <w:pPr>
        <w:spacing w:after="0" w:line="240" w:lineRule="auto"/>
      </w:pPr>
      <w:r>
        <w:separator/>
      </w:r>
    </w:p>
  </w:footnote>
  <w:footnote w:type="continuationSeparator" w:id="0">
    <w:p w14:paraId="1C1DF872" w14:textId="77777777" w:rsidR="009439BC" w:rsidRDefault="009439BC" w:rsidP="00683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C3F0C"/>
    <w:multiLevelType w:val="hybridMultilevel"/>
    <w:tmpl w:val="D898D4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7702751"/>
    <w:multiLevelType w:val="hybridMultilevel"/>
    <w:tmpl w:val="B2EA3276"/>
    <w:numStyleLink w:val="Numbered"/>
  </w:abstractNum>
  <w:abstractNum w:abstractNumId="2" w15:restartNumberingAfterBreak="0">
    <w:nsid w:val="2C8C3905"/>
    <w:multiLevelType w:val="hybridMultilevel"/>
    <w:tmpl w:val="B2EA3276"/>
    <w:styleLink w:val="Numbered"/>
    <w:lvl w:ilvl="0" w:tplc="B2EA3276">
      <w:start w:val="1"/>
      <w:numFmt w:val="decimal"/>
      <w:lvlText w:val="%1."/>
      <w:lvlJc w:val="left"/>
      <w:pPr>
        <w:ind w:left="278" w:hanging="278"/>
      </w:pPr>
      <w:rPr>
        <w:rFonts w:hAnsi="Arial Unicode MS"/>
        <w:caps w:val="0"/>
        <w:smallCaps w:val="0"/>
        <w:strike w:val="0"/>
        <w:dstrike w:val="0"/>
        <w:outline w:val="0"/>
        <w:emboss w:val="0"/>
        <w:imprint w:val="0"/>
        <w:spacing w:val="0"/>
        <w:w w:val="100"/>
        <w:kern w:val="0"/>
        <w:position w:val="0"/>
        <w:highlight w:val="none"/>
        <w:vertAlign w:val="baseline"/>
      </w:rPr>
    </w:lvl>
    <w:lvl w:ilvl="1" w:tplc="59A6B09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84846">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03822F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BA870F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8C46F5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3F2AFB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438202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F0BC26">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C743F22"/>
    <w:multiLevelType w:val="multilevel"/>
    <w:tmpl w:val="B2EA3276"/>
    <w:numStyleLink w:val="Numbered"/>
  </w:abstractNum>
  <w:num w:numId="1" w16cid:durableId="1680742262">
    <w:abstractNumId w:val="0"/>
  </w:num>
  <w:num w:numId="2" w16cid:durableId="1413358826">
    <w:abstractNumId w:val="2"/>
  </w:num>
  <w:num w:numId="3" w16cid:durableId="916206516">
    <w:abstractNumId w:val="1"/>
  </w:num>
  <w:num w:numId="4" w16cid:durableId="9660870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820"/>
    <w:rsid w:val="000147A2"/>
    <w:rsid w:val="00063D6E"/>
    <w:rsid w:val="001035F9"/>
    <w:rsid w:val="005E7B8F"/>
    <w:rsid w:val="0068320D"/>
    <w:rsid w:val="009439BC"/>
    <w:rsid w:val="00AB3FAD"/>
    <w:rsid w:val="00CC1DF8"/>
    <w:rsid w:val="00F668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480B"/>
  <w15:chartTrackingRefBased/>
  <w15:docId w15:val="{FB15A0B3-A1AB-4A31-9C0F-9B04F083A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820"/>
    <w:pPr>
      <w:spacing w:after="200" w:line="276" w:lineRule="auto"/>
    </w:pPr>
    <w:rPr>
      <w:kern w:val="0"/>
      <w:sz w:val="24"/>
      <w:szCs w:val="24"/>
      <w14:ligatures w14:val="none"/>
    </w:rPr>
  </w:style>
  <w:style w:type="paragraph" w:styleId="Heading1">
    <w:name w:val="heading 1"/>
    <w:basedOn w:val="Normal"/>
    <w:next w:val="Normal"/>
    <w:link w:val="Heading1Char"/>
    <w:uiPriority w:val="9"/>
    <w:qFormat/>
    <w:rsid w:val="00F668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68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68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68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68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68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68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68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68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8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68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68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68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68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68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68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68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6820"/>
    <w:rPr>
      <w:rFonts w:eastAsiaTheme="majorEastAsia" w:cstheme="majorBidi"/>
      <w:color w:val="272727" w:themeColor="text1" w:themeTint="D8"/>
    </w:rPr>
  </w:style>
  <w:style w:type="paragraph" w:styleId="Title">
    <w:name w:val="Title"/>
    <w:basedOn w:val="Normal"/>
    <w:next w:val="Normal"/>
    <w:link w:val="TitleChar"/>
    <w:uiPriority w:val="10"/>
    <w:qFormat/>
    <w:rsid w:val="00F668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68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68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68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6820"/>
    <w:pPr>
      <w:spacing w:before="160"/>
      <w:jc w:val="center"/>
    </w:pPr>
    <w:rPr>
      <w:i/>
      <w:iCs/>
      <w:color w:val="404040" w:themeColor="text1" w:themeTint="BF"/>
    </w:rPr>
  </w:style>
  <w:style w:type="character" w:customStyle="1" w:styleId="QuoteChar">
    <w:name w:val="Quote Char"/>
    <w:basedOn w:val="DefaultParagraphFont"/>
    <w:link w:val="Quote"/>
    <w:uiPriority w:val="29"/>
    <w:rsid w:val="00F66820"/>
    <w:rPr>
      <w:i/>
      <w:iCs/>
      <w:color w:val="404040" w:themeColor="text1" w:themeTint="BF"/>
    </w:rPr>
  </w:style>
  <w:style w:type="paragraph" w:styleId="ListParagraph">
    <w:name w:val="List Paragraph"/>
    <w:basedOn w:val="Normal"/>
    <w:uiPriority w:val="34"/>
    <w:qFormat/>
    <w:rsid w:val="00F66820"/>
    <w:pPr>
      <w:ind w:left="720"/>
      <w:contextualSpacing/>
    </w:pPr>
  </w:style>
  <w:style w:type="character" w:styleId="IntenseEmphasis">
    <w:name w:val="Intense Emphasis"/>
    <w:basedOn w:val="DefaultParagraphFont"/>
    <w:uiPriority w:val="21"/>
    <w:qFormat/>
    <w:rsid w:val="00F66820"/>
    <w:rPr>
      <w:i/>
      <w:iCs/>
      <w:color w:val="0F4761" w:themeColor="accent1" w:themeShade="BF"/>
    </w:rPr>
  </w:style>
  <w:style w:type="paragraph" w:styleId="IntenseQuote">
    <w:name w:val="Intense Quote"/>
    <w:basedOn w:val="Normal"/>
    <w:next w:val="Normal"/>
    <w:link w:val="IntenseQuoteChar"/>
    <w:uiPriority w:val="30"/>
    <w:qFormat/>
    <w:rsid w:val="00F668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6820"/>
    <w:rPr>
      <w:i/>
      <w:iCs/>
      <w:color w:val="0F4761" w:themeColor="accent1" w:themeShade="BF"/>
    </w:rPr>
  </w:style>
  <w:style w:type="character" w:styleId="IntenseReference">
    <w:name w:val="Intense Reference"/>
    <w:basedOn w:val="DefaultParagraphFont"/>
    <w:uiPriority w:val="32"/>
    <w:qFormat/>
    <w:rsid w:val="00F66820"/>
    <w:rPr>
      <w:b/>
      <w:bCs/>
      <w:smallCaps/>
      <w:color w:val="0F4761" w:themeColor="accent1" w:themeShade="BF"/>
      <w:spacing w:val="5"/>
    </w:rPr>
  </w:style>
  <w:style w:type="paragraph" w:customStyle="1" w:styleId="BodyA">
    <w:name w:val="Body A"/>
    <w:rsid w:val="00F66820"/>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Default">
    <w:name w:val="Default"/>
    <w:rsid w:val="00F6682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eastAsia="en-GB"/>
      <w14:textOutline w14:w="12700" w14:cap="flat" w14:cmpd="sng" w14:algn="ctr">
        <w14:noFill/>
        <w14:prstDash w14:val="solid"/>
        <w14:miter w14:lim="400000"/>
      </w14:textOutline>
      <w14:ligatures w14:val="none"/>
    </w:rPr>
  </w:style>
  <w:style w:type="numbering" w:customStyle="1" w:styleId="Numbered">
    <w:name w:val="Numbered"/>
    <w:rsid w:val="00F66820"/>
    <w:pPr>
      <w:numPr>
        <w:numId w:val="2"/>
      </w:numPr>
    </w:pPr>
  </w:style>
  <w:style w:type="paragraph" w:styleId="Header">
    <w:name w:val="header"/>
    <w:basedOn w:val="Normal"/>
    <w:link w:val="HeaderChar"/>
    <w:uiPriority w:val="99"/>
    <w:unhideWhenUsed/>
    <w:rsid w:val="00683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320D"/>
    <w:rPr>
      <w:kern w:val="0"/>
      <w:sz w:val="24"/>
      <w:szCs w:val="24"/>
      <w14:ligatures w14:val="none"/>
    </w:rPr>
  </w:style>
  <w:style w:type="paragraph" w:styleId="Footer">
    <w:name w:val="footer"/>
    <w:basedOn w:val="Normal"/>
    <w:link w:val="FooterChar"/>
    <w:uiPriority w:val="99"/>
    <w:unhideWhenUsed/>
    <w:rsid w:val="00683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320D"/>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674</Words>
  <Characters>3843</Characters>
  <Application>Microsoft Office Word</Application>
  <DocSecurity>0</DocSecurity>
  <Lines>32</Lines>
  <Paragraphs>9</Paragraphs>
  <ScaleCrop>false</ScaleCrop>
  <Company>Sainsburys Group</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Sukhi Johal</dc:creator>
  <cp:keywords/>
  <dc:description/>
  <cp:lastModifiedBy>Beth Johnson</cp:lastModifiedBy>
  <cp:revision>2</cp:revision>
  <dcterms:created xsi:type="dcterms:W3CDTF">2025-09-08T21:49:00Z</dcterms:created>
  <dcterms:modified xsi:type="dcterms:W3CDTF">2025-09-09T10:28:00Z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0ba449-43c6-4cb4-ab67-7944acc9363d_Enabled">
    <vt:lpwstr>true</vt:lpwstr>
  </property>
  <property fmtid="{D5CDD505-2E9C-101B-9397-08002B2CF9AE}" pid="3" name="MSIP_Label_e30ba449-43c6-4cb4-ab67-7944acc9363d_SetDate">
    <vt:lpwstr>2025-09-08T21:51:16Z</vt:lpwstr>
  </property>
  <property fmtid="{D5CDD505-2E9C-101B-9397-08002B2CF9AE}" pid="4" name="MSIP_Label_e30ba449-43c6-4cb4-ab67-7944acc9363d_Method">
    <vt:lpwstr>Standard</vt:lpwstr>
  </property>
  <property fmtid="{D5CDD505-2E9C-101B-9397-08002B2CF9AE}" pid="5" name="MSIP_Label_e30ba449-43c6-4cb4-ab67-7944acc9363d_Name">
    <vt:lpwstr>e30ba449-43c6-4cb4-ab67-7944acc9363d</vt:lpwstr>
  </property>
  <property fmtid="{D5CDD505-2E9C-101B-9397-08002B2CF9AE}" pid="6" name="MSIP_Label_e30ba449-43c6-4cb4-ab67-7944acc9363d_SiteId">
    <vt:lpwstr>e11fd634-26b5-47f4-8b8c-908e466e9bdf</vt:lpwstr>
  </property>
  <property fmtid="{D5CDD505-2E9C-101B-9397-08002B2CF9AE}" pid="7" name="MSIP_Label_e30ba449-43c6-4cb4-ab67-7944acc9363d_ActionId">
    <vt:lpwstr>18fb0e99-ef71-4679-8047-fe4182abef8d</vt:lpwstr>
  </property>
  <property fmtid="{D5CDD505-2E9C-101B-9397-08002B2CF9AE}" pid="8" name="MSIP_Label_e30ba449-43c6-4cb4-ab67-7944acc9363d_ContentBits">
    <vt:lpwstr>0</vt:lpwstr>
  </property>
  <property fmtid="{D5CDD505-2E9C-101B-9397-08002B2CF9AE}" pid="9" name="MSIP_Label_e30ba449-43c6-4cb4-ab67-7944acc9363d_Tag">
    <vt:lpwstr>10, 3, 0, 1</vt:lpwstr>
  </property>
</Properties>
</file>